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2AD97" w14:textId="77777777" w:rsidR="00182F6E" w:rsidRPr="00182F6E" w:rsidRDefault="00182F6E" w:rsidP="00182F6E">
      <w:pPr>
        <w:spacing w:before="100" w:beforeAutospacing="1" w:after="100" w:afterAutospacing="1"/>
        <w:rPr>
          <w:rFonts w:ascii="Times New Roman" w:hAnsi="Times New Roman" w:cs="Times New Roman"/>
          <w:sz w:val="20"/>
          <w:szCs w:val="20"/>
        </w:rPr>
      </w:pPr>
    </w:p>
    <w:p w14:paraId="123FE79C" w14:textId="19624189" w:rsidR="00182F6E" w:rsidRPr="00182F6E" w:rsidRDefault="00182F6E" w:rsidP="00182F6E">
      <w:pPr>
        <w:spacing w:before="100" w:beforeAutospacing="1" w:after="100" w:afterAutospacing="1"/>
        <w:jc w:val="center"/>
        <w:rPr>
          <w:rFonts w:ascii="Times New Roman" w:hAnsi="Times New Roman" w:cs="Times New Roman"/>
          <w:b/>
          <w:bCs/>
          <w:sz w:val="20"/>
          <w:szCs w:val="20"/>
          <w:u w:val="single"/>
        </w:rPr>
      </w:pPr>
      <w:r w:rsidRPr="00182F6E">
        <w:rPr>
          <w:rFonts w:ascii="Times New Roman" w:hAnsi="Times New Roman" w:cs="Times New Roman"/>
          <w:b/>
          <w:bCs/>
          <w:sz w:val="20"/>
          <w:szCs w:val="20"/>
          <w:u w:val="single"/>
        </w:rPr>
        <w:t>Subaward, Subcontract, Professional Service Agreements</w:t>
      </w:r>
      <w:r w:rsidR="00AB5498">
        <w:rPr>
          <w:rFonts w:ascii="Times New Roman" w:hAnsi="Times New Roman" w:cs="Times New Roman"/>
          <w:b/>
          <w:bCs/>
          <w:sz w:val="20"/>
          <w:szCs w:val="20"/>
          <w:u w:val="single"/>
        </w:rPr>
        <w:t>, and Flow-through (pass-through)</w:t>
      </w:r>
      <w:r w:rsidRPr="00182F6E">
        <w:rPr>
          <w:rFonts w:ascii="Times New Roman" w:hAnsi="Times New Roman" w:cs="Times New Roman"/>
          <w:b/>
          <w:bCs/>
          <w:sz w:val="20"/>
          <w:szCs w:val="20"/>
          <w:u w:val="single"/>
        </w:rPr>
        <w:t xml:space="preserve"> Determinations</w:t>
      </w:r>
    </w:p>
    <w:p w14:paraId="371E9DA7" w14:textId="5A77B829" w:rsidR="00182F6E" w:rsidRPr="00182F6E" w:rsidRDefault="00182F6E" w:rsidP="00182F6E">
      <w:pPr>
        <w:spacing w:before="100" w:beforeAutospacing="1" w:after="100" w:afterAutospacing="1"/>
        <w:rPr>
          <w:rFonts w:ascii="Times New Roman" w:hAnsi="Times New Roman" w:cs="Times New Roman"/>
          <w:sz w:val="20"/>
          <w:szCs w:val="20"/>
        </w:rPr>
      </w:pPr>
      <w:r w:rsidRPr="00182F6E">
        <w:rPr>
          <w:rFonts w:ascii="Times New Roman" w:hAnsi="Times New Roman" w:cs="Times New Roman"/>
          <w:sz w:val="20"/>
          <w:szCs w:val="20"/>
        </w:rPr>
        <w:t xml:space="preserve">The classification of subawards, subcontracts, and professional service agreements is a difficult topic to address because it cannot be applied universally. The Uniform Guidance states the determining factor </w:t>
      </w:r>
      <w:hyperlink r:id="rId5" w:history="1">
        <w:r w:rsidRPr="003A5350">
          <w:rPr>
            <w:rStyle w:val="Hyperlink"/>
            <w:rFonts w:ascii="Times New Roman" w:hAnsi="Times New Roman" w:cs="Times New Roman"/>
            <w:sz w:val="20"/>
            <w:szCs w:val="20"/>
          </w:rPr>
          <w:t xml:space="preserve">in 2 CFR </w:t>
        </w:r>
        <w:r w:rsidR="00E52BE6" w:rsidRPr="003A5350">
          <w:rPr>
            <w:rStyle w:val="Hyperlink"/>
            <w:rFonts w:ascii="Times New Roman" w:hAnsi="Times New Roman" w:cs="Times New Roman"/>
            <w:sz w:val="20"/>
            <w:szCs w:val="20"/>
          </w:rPr>
          <w:t>§</w:t>
        </w:r>
        <w:r w:rsidRPr="003A5350">
          <w:rPr>
            <w:rStyle w:val="Hyperlink"/>
            <w:rFonts w:ascii="Times New Roman" w:hAnsi="Times New Roman" w:cs="Times New Roman"/>
            <w:sz w:val="20"/>
            <w:szCs w:val="20"/>
          </w:rPr>
          <w:t>200.33</w:t>
        </w:r>
        <w:r w:rsidR="003A5350" w:rsidRPr="003A5350">
          <w:rPr>
            <w:rStyle w:val="Hyperlink"/>
            <w:rFonts w:ascii="Times New Roman" w:hAnsi="Times New Roman" w:cs="Times New Roman"/>
            <w:sz w:val="20"/>
            <w:szCs w:val="20"/>
          </w:rPr>
          <w:t>1</w:t>
        </w:r>
        <w:r w:rsidRPr="003A5350">
          <w:rPr>
            <w:rStyle w:val="Hyperlink"/>
            <w:rFonts w:ascii="Times New Roman" w:hAnsi="Times New Roman" w:cs="Times New Roman"/>
            <w:sz w:val="20"/>
            <w:szCs w:val="20"/>
          </w:rPr>
          <w:t xml:space="preserve"> Subrecipient and contractor determinations</w:t>
        </w:r>
      </w:hyperlink>
      <w:r w:rsidRPr="003A5350">
        <w:rPr>
          <w:rFonts w:ascii="Times New Roman" w:hAnsi="Times New Roman" w:cs="Times New Roman"/>
          <w:sz w:val="20"/>
          <w:szCs w:val="20"/>
        </w:rPr>
        <w:t xml:space="preserve"> ,</w:t>
      </w:r>
      <w:r w:rsidRPr="00182F6E">
        <w:rPr>
          <w:rFonts w:ascii="Times New Roman" w:hAnsi="Times New Roman" w:cs="Times New Roman"/>
          <w:sz w:val="20"/>
          <w:szCs w:val="20"/>
        </w:rPr>
        <w:t xml:space="preserve"> “In determining whether an agreement between a pass-through entity and another non-Federal entity casts the latter as a subrecipient or a contractor, </w:t>
      </w:r>
      <w:r w:rsidRPr="00182F6E">
        <w:rPr>
          <w:rFonts w:ascii="Times New Roman" w:hAnsi="Times New Roman" w:cs="Times New Roman"/>
          <w:color w:val="000000"/>
          <w:sz w:val="20"/>
          <w:szCs w:val="20"/>
          <w:shd w:val="clear" w:color="auto" w:fill="FFFF00"/>
        </w:rPr>
        <w:t>the substance of the relationship is more important than the form of the agreement</w:t>
      </w:r>
      <w:r w:rsidRPr="00182F6E">
        <w:rPr>
          <w:rFonts w:ascii="Times New Roman" w:hAnsi="Times New Roman" w:cs="Times New Roman"/>
          <w:sz w:val="20"/>
          <w:szCs w:val="20"/>
        </w:rPr>
        <w:t>.” The chart below was derived from the Uniform Guidance:  </w:t>
      </w:r>
    </w:p>
    <w:tbl>
      <w:tblPr>
        <w:tblW w:w="0" w:type="auto"/>
        <w:tblCellMar>
          <w:left w:w="0" w:type="dxa"/>
          <w:right w:w="0" w:type="dxa"/>
        </w:tblCellMar>
        <w:tblLook w:val="04A0" w:firstRow="1" w:lastRow="0" w:firstColumn="1" w:lastColumn="0" w:noHBand="0" w:noVBand="1"/>
      </w:tblPr>
      <w:tblGrid>
        <w:gridCol w:w="1554"/>
        <w:gridCol w:w="5817"/>
        <w:gridCol w:w="4524"/>
        <w:gridCol w:w="4548"/>
        <w:gridCol w:w="4468"/>
      </w:tblGrid>
      <w:tr w:rsidR="00AB5498" w:rsidRPr="00182F6E" w14:paraId="5F3A0EA1" w14:textId="6CB7CB4C" w:rsidTr="00AB5498">
        <w:tc>
          <w:tcPr>
            <w:tcW w:w="1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92DE45" w14:textId="77777777" w:rsidR="00AB5498" w:rsidRPr="00182F6E" w:rsidRDefault="00AB5498">
            <w:pPr>
              <w:spacing w:before="100" w:beforeAutospacing="1" w:after="100" w:afterAutospacing="1"/>
              <w:rPr>
                <w:rFonts w:ascii="Times New Roman" w:hAnsi="Times New Roman" w:cs="Times New Roman"/>
                <w:sz w:val="20"/>
                <w:szCs w:val="20"/>
              </w:rPr>
            </w:pPr>
            <w:r w:rsidRPr="00182F6E">
              <w:rPr>
                <w:rFonts w:ascii="Times New Roman" w:hAnsi="Times New Roman" w:cs="Times New Roman"/>
                <w:b/>
                <w:bCs/>
                <w:sz w:val="20"/>
                <w:szCs w:val="20"/>
                <w:u w:val="single"/>
              </w:rPr>
              <w:t xml:space="preserve">Relationship Substance </w:t>
            </w:r>
          </w:p>
        </w:tc>
        <w:tc>
          <w:tcPr>
            <w:tcW w:w="5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65C54D" w14:textId="77777777" w:rsidR="00AB5498" w:rsidRPr="00182F6E" w:rsidRDefault="00AB5498">
            <w:pPr>
              <w:spacing w:before="100" w:beforeAutospacing="1" w:after="100" w:afterAutospacing="1"/>
              <w:jc w:val="center"/>
              <w:rPr>
                <w:rFonts w:ascii="Times New Roman" w:hAnsi="Times New Roman" w:cs="Times New Roman"/>
                <w:sz w:val="20"/>
                <w:szCs w:val="20"/>
              </w:rPr>
            </w:pPr>
            <w:r w:rsidRPr="00182F6E">
              <w:rPr>
                <w:rFonts w:ascii="Times New Roman" w:hAnsi="Times New Roman" w:cs="Times New Roman"/>
                <w:b/>
                <w:bCs/>
                <w:sz w:val="20"/>
                <w:szCs w:val="20"/>
                <w:u w:val="single"/>
              </w:rPr>
              <w:t xml:space="preserve">Subaward </w:t>
            </w:r>
          </w:p>
        </w:tc>
        <w:tc>
          <w:tcPr>
            <w:tcW w:w="45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4ED258" w14:textId="77777777" w:rsidR="00AB5498" w:rsidRPr="00182F6E" w:rsidRDefault="00AB5498">
            <w:pPr>
              <w:spacing w:before="100" w:beforeAutospacing="1" w:after="100" w:afterAutospacing="1"/>
              <w:jc w:val="center"/>
              <w:rPr>
                <w:rFonts w:ascii="Times New Roman" w:hAnsi="Times New Roman" w:cs="Times New Roman"/>
                <w:sz w:val="20"/>
                <w:szCs w:val="20"/>
              </w:rPr>
            </w:pPr>
            <w:r w:rsidRPr="00182F6E">
              <w:rPr>
                <w:rFonts w:ascii="Times New Roman" w:hAnsi="Times New Roman" w:cs="Times New Roman"/>
                <w:b/>
                <w:bCs/>
                <w:sz w:val="20"/>
                <w:szCs w:val="20"/>
                <w:u w:val="single"/>
              </w:rPr>
              <w:t xml:space="preserve">Subcontract </w:t>
            </w:r>
          </w:p>
        </w:tc>
        <w:tc>
          <w:tcPr>
            <w:tcW w:w="4548" w:type="dxa"/>
            <w:tcBorders>
              <w:top w:val="single" w:sz="8" w:space="0" w:color="auto"/>
              <w:left w:val="nil"/>
              <w:bottom w:val="single" w:sz="8" w:space="0" w:color="auto"/>
              <w:right w:val="single" w:sz="8" w:space="0" w:color="auto"/>
            </w:tcBorders>
            <w:hideMark/>
          </w:tcPr>
          <w:p w14:paraId="1AE85CBA" w14:textId="77777777" w:rsidR="00AB5498" w:rsidRPr="00182F6E" w:rsidRDefault="00AB5498">
            <w:pPr>
              <w:spacing w:before="100" w:beforeAutospacing="1" w:after="100" w:afterAutospacing="1"/>
              <w:jc w:val="center"/>
              <w:rPr>
                <w:rFonts w:ascii="Times New Roman" w:hAnsi="Times New Roman" w:cs="Times New Roman"/>
                <w:b/>
                <w:bCs/>
                <w:sz w:val="20"/>
                <w:szCs w:val="20"/>
                <w:u w:val="single"/>
              </w:rPr>
            </w:pPr>
            <w:r w:rsidRPr="00182F6E">
              <w:rPr>
                <w:rFonts w:ascii="Times New Roman" w:hAnsi="Times New Roman" w:cs="Times New Roman"/>
                <w:b/>
                <w:bCs/>
                <w:sz w:val="20"/>
                <w:szCs w:val="20"/>
                <w:u w:val="single"/>
              </w:rPr>
              <w:t xml:space="preserve">Professional Services </w:t>
            </w:r>
          </w:p>
        </w:tc>
        <w:tc>
          <w:tcPr>
            <w:tcW w:w="4468" w:type="dxa"/>
            <w:tcBorders>
              <w:top w:val="single" w:sz="8" w:space="0" w:color="auto"/>
              <w:left w:val="nil"/>
              <w:bottom w:val="single" w:sz="8" w:space="0" w:color="auto"/>
              <w:right w:val="single" w:sz="8" w:space="0" w:color="auto"/>
            </w:tcBorders>
          </w:tcPr>
          <w:p w14:paraId="61FF19BE" w14:textId="5CC84EEB" w:rsidR="00AB5498" w:rsidRPr="00182F6E" w:rsidRDefault="00AB5498">
            <w:pPr>
              <w:spacing w:before="100" w:beforeAutospacing="1" w:after="100" w:afterAutospacing="1"/>
              <w:jc w:val="center"/>
              <w:rPr>
                <w:rFonts w:ascii="Times New Roman" w:hAnsi="Times New Roman" w:cs="Times New Roman"/>
                <w:b/>
                <w:bCs/>
                <w:sz w:val="20"/>
                <w:szCs w:val="20"/>
                <w:u w:val="single"/>
              </w:rPr>
            </w:pPr>
            <w:r>
              <w:rPr>
                <w:rFonts w:ascii="Times New Roman" w:hAnsi="Times New Roman" w:cs="Times New Roman"/>
                <w:b/>
                <w:bCs/>
                <w:sz w:val="20"/>
                <w:szCs w:val="20"/>
                <w:u w:val="single"/>
              </w:rPr>
              <w:t>Flow-through</w:t>
            </w:r>
            <w:r w:rsidR="00217C34">
              <w:rPr>
                <w:rFonts w:ascii="Times New Roman" w:hAnsi="Times New Roman" w:cs="Times New Roman"/>
                <w:b/>
                <w:bCs/>
                <w:sz w:val="20"/>
                <w:szCs w:val="20"/>
                <w:u w:val="single"/>
              </w:rPr>
              <w:t xml:space="preserve"> (Pass</w:t>
            </w:r>
            <w:r w:rsidR="00435843">
              <w:rPr>
                <w:rFonts w:ascii="Times New Roman" w:hAnsi="Times New Roman" w:cs="Times New Roman"/>
                <w:b/>
                <w:bCs/>
                <w:sz w:val="20"/>
                <w:szCs w:val="20"/>
                <w:u w:val="single"/>
              </w:rPr>
              <w:t>-</w:t>
            </w:r>
            <w:r w:rsidR="00217C34">
              <w:rPr>
                <w:rFonts w:ascii="Times New Roman" w:hAnsi="Times New Roman" w:cs="Times New Roman"/>
                <w:b/>
                <w:bCs/>
                <w:sz w:val="20"/>
                <w:szCs w:val="20"/>
                <w:u w:val="single"/>
              </w:rPr>
              <w:t>through)</w:t>
            </w:r>
          </w:p>
        </w:tc>
      </w:tr>
      <w:tr w:rsidR="00AB5498" w:rsidRPr="00182F6E" w14:paraId="29D1B06B" w14:textId="1A481BDC" w:rsidTr="00AB5498">
        <w:trPr>
          <w:trHeight w:val="2671"/>
        </w:trPr>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02621" w14:textId="77777777" w:rsidR="00AB5498" w:rsidRPr="00182F6E" w:rsidRDefault="00AB5498">
            <w:pPr>
              <w:spacing w:before="100" w:beforeAutospacing="1" w:after="100" w:afterAutospacing="1"/>
              <w:rPr>
                <w:rFonts w:ascii="Times New Roman" w:hAnsi="Times New Roman" w:cs="Times New Roman"/>
                <w:sz w:val="20"/>
                <w:szCs w:val="20"/>
              </w:rPr>
            </w:pPr>
            <w:r w:rsidRPr="00182F6E">
              <w:rPr>
                <w:rFonts w:ascii="Times New Roman" w:hAnsi="Times New Roman" w:cs="Times New Roman"/>
                <w:b/>
                <w:bCs/>
                <w:color w:val="000000"/>
                <w:sz w:val="20"/>
                <w:szCs w:val="20"/>
                <w:u w:val="single"/>
                <w:shd w:val="clear" w:color="auto" w:fill="FFFFFF"/>
              </w:rPr>
              <w:t>Definition</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0AD3B28F" w14:textId="160EB293"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A subaward is for the purpose of carrying out a portion of a Federal award and creates a Federal assistance relationship with the subrecipient. </w:t>
            </w:r>
            <w:r w:rsidRPr="006E6220">
              <w:rPr>
                <w:rFonts w:ascii="Times New Roman" w:hAnsi="Times New Roman" w:cs="Times New Roman"/>
                <w:sz w:val="20"/>
                <w:szCs w:val="20"/>
              </w:rPr>
              <w:t xml:space="preserve">See </w:t>
            </w:r>
            <w:hyperlink r:id="rId6" w:history="1">
              <w:r w:rsidRPr="00F03FC0">
                <w:rPr>
                  <w:rStyle w:val="Hyperlink"/>
                  <w:rFonts w:ascii="Times New Roman" w:hAnsi="Times New Roman" w:cs="Times New Roman"/>
                  <w:sz w:val="20"/>
                  <w:szCs w:val="20"/>
                </w:rPr>
                <w:t>2 C.F.R. § 200.</w:t>
              </w:r>
              <w:r w:rsidR="006E6220" w:rsidRPr="00F03FC0">
                <w:rPr>
                  <w:rStyle w:val="Hyperlink"/>
                  <w:rFonts w:ascii="Times New Roman" w:hAnsi="Times New Roman" w:cs="Times New Roman"/>
                  <w:sz w:val="20"/>
                  <w:szCs w:val="20"/>
                </w:rPr>
                <w:t>1</w:t>
              </w:r>
              <w:r w:rsidRPr="00F03FC0">
                <w:rPr>
                  <w:rStyle w:val="Hyperlink"/>
                  <w:rFonts w:ascii="Times New Roman" w:hAnsi="Times New Roman" w:cs="Times New Roman"/>
                  <w:sz w:val="20"/>
                  <w:szCs w:val="20"/>
                </w:rPr>
                <w:t xml:space="preserve"> Subaward. </w:t>
              </w:r>
            </w:hyperlink>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14:paraId="7675C102" w14:textId="779703F6" w:rsidR="00AB5498" w:rsidRPr="00182F6E" w:rsidRDefault="00AB5498">
            <w:pPr>
              <w:spacing w:before="100" w:beforeAutospacing="1" w:after="100" w:afterAutospacing="1"/>
              <w:rPr>
                <w:rFonts w:ascii="Times New Roman" w:hAnsi="Times New Roman" w:cs="Times New Roman"/>
                <w:sz w:val="20"/>
                <w:szCs w:val="20"/>
              </w:rPr>
            </w:pPr>
            <w:r w:rsidRPr="00182F6E">
              <w:rPr>
                <w:rFonts w:ascii="Times New Roman" w:hAnsi="Times New Roman" w:cs="Times New Roman"/>
                <w:color w:val="000000"/>
                <w:sz w:val="20"/>
                <w:szCs w:val="20"/>
                <w:shd w:val="clear" w:color="auto" w:fill="FFFFFF"/>
              </w:rPr>
              <w:t xml:space="preserve">A contract is for the purpose of obtaining goods and services for the non-Federal entity's own use and creates a procurement relationship with the contractor. </w:t>
            </w:r>
            <w:r w:rsidRPr="006E6220">
              <w:rPr>
                <w:rFonts w:ascii="Times New Roman" w:hAnsi="Times New Roman" w:cs="Times New Roman"/>
                <w:sz w:val="20"/>
                <w:szCs w:val="20"/>
                <w:shd w:val="clear" w:color="auto" w:fill="FFFFFF"/>
              </w:rPr>
              <w:t xml:space="preserve">See </w:t>
            </w:r>
            <w:hyperlink r:id="rId7" w:history="1">
              <w:r w:rsidRPr="00BA375B">
                <w:rPr>
                  <w:rStyle w:val="Hyperlink"/>
                  <w:rFonts w:ascii="Times New Roman" w:hAnsi="Times New Roman" w:cs="Times New Roman"/>
                  <w:sz w:val="20"/>
                  <w:szCs w:val="20"/>
                  <w:shd w:val="clear" w:color="auto" w:fill="FFFFFF"/>
                </w:rPr>
                <w:t>2 C.F.R. §200.</w:t>
              </w:r>
              <w:r w:rsidR="006E6220" w:rsidRPr="00BA375B">
                <w:rPr>
                  <w:rStyle w:val="Hyperlink"/>
                  <w:rFonts w:ascii="Times New Roman" w:hAnsi="Times New Roman" w:cs="Times New Roman"/>
                  <w:sz w:val="20"/>
                  <w:szCs w:val="20"/>
                  <w:shd w:val="clear" w:color="auto" w:fill="FFFFFF"/>
                </w:rPr>
                <w:t>1</w:t>
              </w:r>
              <w:r w:rsidRPr="00BA375B">
                <w:rPr>
                  <w:rStyle w:val="Hyperlink"/>
                  <w:rFonts w:ascii="Times New Roman" w:hAnsi="Times New Roman" w:cs="Times New Roman"/>
                  <w:sz w:val="20"/>
                  <w:szCs w:val="20"/>
                  <w:shd w:val="clear" w:color="auto" w:fill="FFFFFF"/>
                </w:rPr>
                <w:t xml:space="preserve"> Contract. </w:t>
              </w:r>
            </w:hyperlink>
          </w:p>
        </w:tc>
        <w:tc>
          <w:tcPr>
            <w:tcW w:w="4548" w:type="dxa"/>
            <w:tcBorders>
              <w:top w:val="nil"/>
              <w:left w:val="nil"/>
              <w:bottom w:val="single" w:sz="8" w:space="0" w:color="auto"/>
              <w:right w:val="single" w:sz="8" w:space="0" w:color="auto"/>
            </w:tcBorders>
          </w:tcPr>
          <w:p w14:paraId="1E7A5840" w14:textId="77777777" w:rsidR="00AB5498" w:rsidRPr="00182F6E" w:rsidRDefault="00AB5498">
            <w:pPr>
              <w:spacing w:before="100" w:beforeAutospacing="1" w:after="100" w:afterAutospacing="1"/>
              <w:rPr>
                <w:rFonts w:ascii="Times New Roman" w:hAnsi="Times New Roman" w:cs="Times New Roman"/>
                <w:color w:val="000000"/>
                <w:sz w:val="20"/>
                <w:szCs w:val="20"/>
                <w:shd w:val="clear" w:color="auto" w:fill="FFFFFF"/>
              </w:rPr>
            </w:pPr>
            <w:r w:rsidRPr="00182F6E">
              <w:rPr>
                <w:rFonts w:ascii="Times New Roman" w:hAnsi="Times New Roman" w:cs="Times New Roman"/>
                <w:color w:val="000000"/>
                <w:sz w:val="20"/>
                <w:szCs w:val="20"/>
                <w:shd w:val="clear" w:color="auto" w:fill="FFFFFF"/>
              </w:rPr>
              <w:t xml:space="preserve">Costs of professional and consultant services rendered by persons who are members of a particular profession or possess a special skill, and who are not officers or employees of the non-Federal entity, are allowable, subject to paragraphs (b) and (c) when reasonable in relation to the services rendered and when not contingent upon recovery of the costs from the Federal Government. </w:t>
            </w:r>
            <w:hyperlink r:id="rId8" w:history="1">
              <w:r w:rsidRPr="00BA375B">
                <w:rPr>
                  <w:rStyle w:val="Hyperlink"/>
                  <w:rFonts w:ascii="Times New Roman" w:hAnsi="Times New Roman" w:cs="Times New Roman"/>
                  <w:sz w:val="20"/>
                  <w:szCs w:val="20"/>
                  <w:shd w:val="clear" w:color="auto" w:fill="FFFFFF"/>
                </w:rPr>
                <w:t>See 2 C.F.R. § 200.459   Professional service costs.</w:t>
              </w:r>
            </w:hyperlink>
          </w:p>
          <w:p w14:paraId="56983FBA" w14:textId="77777777" w:rsidR="00AB5498" w:rsidRPr="00182F6E" w:rsidRDefault="00AB5498">
            <w:pPr>
              <w:pStyle w:val="ListParagraph"/>
              <w:spacing w:before="100" w:beforeAutospacing="1" w:after="100" w:afterAutospacing="1"/>
              <w:rPr>
                <w:rFonts w:ascii="Times New Roman" w:hAnsi="Times New Roman" w:cs="Times New Roman"/>
                <w:color w:val="000000"/>
                <w:sz w:val="20"/>
                <w:szCs w:val="20"/>
                <w:shd w:val="clear" w:color="auto" w:fill="FFFFFF"/>
              </w:rPr>
            </w:pPr>
          </w:p>
        </w:tc>
        <w:tc>
          <w:tcPr>
            <w:tcW w:w="4468" w:type="dxa"/>
            <w:tcBorders>
              <w:top w:val="nil"/>
              <w:left w:val="nil"/>
              <w:bottom w:val="single" w:sz="8" w:space="0" w:color="auto"/>
              <w:right w:val="single" w:sz="8" w:space="0" w:color="auto"/>
            </w:tcBorders>
          </w:tcPr>
          <w:p w14:paraId="765392D2" w14:textId="2787362E" w:rsidR="00160CA9" w:rsidRPr="000B7F6C" w:rsidRDefault="000B7F6C" w:rsidP="000B7F6C">
            <w:pPr>
              <w:spacing w:before="100" w:beforeAutospacing="1" w:after="100" w:afterAutospacing="1"/>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F</w:t>
            </w:r>
            <w:r w:rsidRPr="000B7F6C">
              <w:rPr>
                <w:rFonts w:ascii="Times New Roman" w:hAnsi="Times New Roman" w:cs="Times New Roman"/>
                <w:color w:val="000000"/>
                <w:sz w:val="20"/>
                <w:szCs w:val="20"/>
                <w:shd w:val="clear" w:color="auto" w:fill="FFFFFF"/>
              </w:rPr>
              <w:t>low-through</w:t>
            </w:r>
            <w:r w:rsidR="00E1084B">
              <w:rPr>
                <w:rFonts w:ascii="Times New Roman" w:hAnsi="Times New Roman" w:cs="Times New Roman"/>
                <w:color w:val="000000"/>
                <w:sz w:val="20"/>
                <w:szCs w:val="20"/>
                <w:shd w:val="clear" w:color="auto" w:fill="FFFFFF"/>
              </w:rPr>
              <w:t xml:space="preserve"> (passthrough)</w:t>
            </w:r>
            <w:r w:rsidR="009D3072">
              <w:rPr>
                <w:rFonts w:ascii="Times New Roman" w:hAnsi="Times New Roman" w:cs="Times New Roman"/>
                <w:color w:val="000000"/>
                <w:sz w:val="20"/>
                <w:szCs w:val="20"/>
                <w:shd w:val="clear" w:color="auto" w:fill="FFFFFF"/>
              </w:rPr>
              <w:t xml:space="preserve"> costs</w:t>
            </w:r>
            <w:r w:rsidRPr="000B7F6C">
              <w:rPr>
                <w:rFonts w:ascii="Times New Roman" w:hAnsi="Times New Roman" w:cs="Times New Roman"/>
                <w:color w:val="000000"/>
                <w:sz w:val="20"/>
                <w:szCs w:val="20"/>
                <w:shd w:val="clear" w:color="auto" w:fill="FFFFFF"/>
              </w:rPr>
              <w:t xml:space="preserve"> </w:t>
            </w:r>
            <w:r w:rsidR="003F752B">
              <w:rPr>
                <w:rFonts w:ascii="Times New Roman" w:hAnsi="Times New Roman" w:cs="Times New Roman"/>
                <w:color w:val="000000"/>
                <w:sz w:val="20"/>
                <w:szCs w:val="20"/>
                <w:shd w:val="clear" w:color="auto" w:fill="FFFFFF"/>
              </w:rPr>
              <w:t>are</w:t>
            </w:r>
            <w:r w:rsidR="006D414C">
              <w:rPr>
                <w:rFonts w:ascii="Times New Roman" w:hAnsi="Times New Roman" w:cs="Times New Roman"/>
                <w:color w:val="000000"/>
                <w:sz w:val="20"/>
                <w:szCs w:val="20"/>
                <w:shd w:val="clear" w:color="auto" w:fill="FFFFFF"/>
              </w:rPr>
              <w:t xml:space="preserve"> excluded from the indirect cost rate calculation with approval from the cognizant agency for indirect costs.</w:t>
            </w:r>
            <w:r w:rsidR="00C73886">
              <w:rPr>
                <w:rFonts w:ascii="Times New Roman" w:hAnsi="Times New Roman" w:cs="Times New Roman"/>
                <w:color w:val="000000"/>
                <w:sz w:val="20"/>
                <w:szCs w:val="20"/>
                <w:shd w:val="clear" w:color="auto" w:fill="FFFFFF"/>
              </w:rPr>
              <w:t xml:space="preserve"> </w:t>
            </w:r>
            <w:r w:rsidR="009E7EE0" w:rsidRPr="00F11557">
              <w:rPr>
                <w:rFonts w:ascii="Times New Roman" w:hAnsi="Times New Roman" w:cs="Times New Roman"/>
                <w:sz w:val="20"/>
                <w:szCs w:val="20"/>
                <w:shd w:val="clear" w:color="auto" w:fill="FFFFFF"/>
              </w:rPr>
              <w:t xml:space="preserve"> </w:t>
            </w:r>
            <w:r w:rsidR="005D6CC9" w:rsidRPr="00F11557">
              <w:rPr>
                <w:rFonts w:ascii="Times New Roman" w:hAnsi="Times New Roman" w:cs="Times New Roman"/>
                <w:sz w:val="20"/>
                <w:szCs w:val="20"/>
                <w:shd w:val="clear" w:color="auto" w:fill="FFFFFF"/>
              </w:rPr>
              <w:t xml:space="preserve"> </w:t>
            </w:r>
            <w:r w:rsidR="009E7EE0" w:rsidRPr="00F11557">
              <w:rPr>
                <w:rFonts w:ascii="Times New Roman" w:hAnsi="Times New Roman" w:cs="Times New Roman"/>
                <w:sz w:val="20"/>
                <w:szCs w:val="20"/>
                <w:shd w:val="clear" w:color="auto" w:fill="FFFFFF"/>
              </w:rPr>
              <w:t xml:space="preserve">See </w:t>
            </w:r>
            <w:hyperlink r:id="rId9" w:history="1">
              <w:r w:rsidR="009E7EE0" w:rsidRPr="00ED5BF0">
                <w:rPr>
                  <w:rStyle w:val="Hyperlink"/>
                  <w:rFonts w:ascii="Times New Roman" w:hAnsi="Times New Roman" w:cs="Times New Roman"/>
                  <w:sz w:val="20"/>
                  <w:szCs w:val="20"/>
                  <w:shd w:val="clear" w:color="auto" w:fill="FFFFFF"/>
                </w:rPr>
                <w:t>2 C.F.R. §</w:t>
              </w:r>
              <w:r w:rsidR="00160CA9" w:rsidRPr="00ED5BF0">
                <w:rPr>
                  <w:rStyle w:val="Hyperlink"/>
                  <w:rFonts w:ascii="Times New Roman" w:hAnsi="Times New Roman" w:cs="Times New Roman"/>
                  <w:sz w:val="20"/>
                  <w:szCs w:val="20"/>
                  <w:shd w:val="clear" w:color="auto" w:fill="FFFFFF"/>
                </w:rPr>
                <w:t xml:space="preserve"> 200.</w:t>
              </w:r>
              <w:r w:rsidR="00F11557" w:rsidRPr="00ED5BF0">
                <w:rPr>
                  <w:rStyle w:val="Hyperlink"/>
                  <w:rFonts w:ascii="Times New Roman" w:hAnsi="Times New Roman" w:cs="Times New Roman"/>
                  <w:sz w:val="20"/>
                  <w:szCs w:val="20"/>
                  <w:shd w:val="clear" w:color="auto" w:fill="FFFFFF"/>
                </w:rPr>
                <w:t>1</w:t>
              </w:r>
              <w:r w:rsidR="00160CA9" w:rsidRPr="00ED5BF0">
                <w:rPr>
                  <w:rStyle w:val="Hyperlink"/>
                  <w:rFonts w:ascii="Times New Roman" w:hAnsi="Times New Roman" w:cs="Times New Roman"/>
                  <w:sz w:val="20"/>
                  <w:szCs w:val="20"/>
                  <w:shd w:val="clear" w:color="auto" w:fill="FFFFFF"/>
                </w:rPr>
                <w:t xml:space="preserve"> Modified Total Direct Cost</w:t>
              </w:r>
            </w:hyperlink>
          </w:p>
          <w:p w14:paraId="5B6184A9" w14:textId="6697189E" w:rsidR="00AB5498" w:rsidRPr="00182F6E" w:rsidRDefault="00AB5498" w:rsidP="000B7F6C">
            <w:pPr>
              <w:spacing w:before="100" w:beforeAutospacing="1" w:after="100" w:afterAutospacing="1"/>
              <w:rPr>
                <w:rFonts w:ascii="Times New Roman" w:hAnsi="Times New Roman" w:cs="Times New Roman"/>
                <w:color w:val="000000"/>
                <w:sz w:val="20"/>
                <w:szCs w:val="20"/>
                <w:shd w:val="clear" w:color="auto" w:fill="FFFFFF"/>
              </w:rPr>
            </w:pPr>
          </w:p>
        </w:tc>
      </w:tr>
      <w:tr w:rsidR="00AB5498" w:rsidRPr="00182F6E" w14:paraId="7CC17411" w14:textId="349D3B5F" w:rsidTr="00AB5498">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69B749" w14:textId="77777777" w:rsidR="00AB5498" w:rsidRPr="00182F6E" w:rsidRDefault="00AB5498">
            <w:pPr>
              <w:spacing w:before="100" w:beforeAutospacing="1" w:after="100" w:afterAutospacing="1"/>
              <w:rPr>
                <w:rFonts w:ascii="Times New Roman" w:hAnsi="Times New Roman" w:cs="Times New Roman"/>
                <w:sz w:val="20"/>
                <w:szCs w:val="20"/>
              </w:rPr>
            </w:pPr>
            <w:r w:rsidRPr="00182F6E">
              <w:rPr>
                <w:rFonts w:ascii="Times New Roman" w:hAnsi="Times New Roman" w:cs="Times New Roman"/>
                <w:b/>
                <w:bCs/>
                <w:sz w:val="20"/>
                <w:szCs w:val="20"/>
                <w:u w:val="single"/>
              </w:rPr>
              <w:t>Characteristics</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3DBF7DA7"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(1) Determines who is eligible to receive what Federal </w:t>
            </w:r>
            <w:proofErr w:type="gramStart"/>
            <w:r w:rsidRPr="00182F6E">
              <w:rPr>
                <w:rFonts w:ascii="Times New Roman" w:hAnsi="Times New Roman" w:cs="Times New Roman"/>
                <w:color w:val="000000"/>
                <w:sz w:val="20"/>
                <w:szCs w:val="20"/>
              </w:rPr>
              <w:t>assistance;</w:t>
            </w:r>
            <w:proofErr w:type="gramEnd"/>
          </w:p>
          <w:p w14:paraId="3099F7CA" w14:textId="737A814E"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(2) Has its performance measured in relation to whether objectives of a Federal program were </w:t>
            </w:r>
            <w:proofErr w:type="gramStart"/>
            <w:r w:rsidRPr="00182F6E">
              <w:rPr>
                <w:rFonts w:ascii="Times New Roman" w:hAnsi="Times New Roman" w:cs="Times New Roman"/>
                <w:color w:val="000000"/>
                <w:sz w:val="20"/>
                <w:szCs w:val="20"/>
              </w:rPr>
              <w:t>met;</w:t>
            </w:r>
            <w:proofErr w:type="gramEnd"/>
          </w:p>
          <w:p w14:paraId="1DC3DEF2"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(3) Has responsibility for programmatic decision </w:t>
            </w:r>
            <w:proofErr w:type="gramStart"/>
            <w:r w:rsidRPr="00182F6E">
              <w:rPr>
                <w:rFonts w:ascii="Times New Roman" w:hAnsi="Times New Roman" w:cs="Times New Roman"/>
                <w:color w:val="000000"/>
                <w:sz w:val="20"/>
                <w:szCs w:val="20"/>
              </w:rPr>
              <w:t>making;</w:t>
            </w:r>
            <w:proofErr w:type="gramEnd"/>
          </w:p>
          <w:p w14:paraId="7E4CA63A"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(4) Is responsible for adherence to applicable Federal program requirements specified in the Federal award; and</w:t>
            </w:r>
          </w:p>
          <w:p w14:paraId="5D9207BD"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(5) In accordance with its agreement, uses the Federal funds to carry out a program for a public purpose specified in authorizing statute, as opposed to providing goods or services for the benefit of the pass-through entity.</w:t>
            </w:r>
          </w:p>
          <w:p w14:paraId="463FC37D"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w:t>
            </w:r>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14:paraId="173B667C"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(1) Provides the goods and services within normal business </w:t>
            </w:r>
            <w:proofErr w:type="gramStart"/>
            <w:r w:rsidRPr="00182F6E">
              <w:rPr>
                <w:rFonts w:ascii="Times New Roman" w:hAnsi="Times New Roman" w:cs="Times New Roman"/>
                <w:color w:val="000000"/>
                <w:sz w:val="20"/>
                <w:szCs w:val="20"/>
              </w:rPr>
              <w:t>operations;</w:t>
            </w:r>
            <w:proofErr w:type="gramEnd"/>
          </w:p>
          <w:p w14:paraId="5CD74EE1"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(2) Provides similar goods or services to many different </w:t>
            </w:r>
            <w:proofErr w:type="gramStart"/>
            <w:r w:rsidRPr="00182F6E">
              <w:rPr>
                <w:rFonts w:ascii="Times New Roman" w:hAnsi="Times New Roman" w:cs="Times New Roman"/>
                <w:color w:val="000000"/>
                <w:sz w:val="20"/>
                <w:szCs w:val="20"/>
              </w:rPr>
              <w:t>purchasers;</w:t>
            </w:r>
            <w:proofErr w:type="gramEnd"/>
          </w:p>
          <w:p w14:paraId="4AF9F18B"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(3) Normally operates in a competitive </w:t>
            </w:r>
            <w:proofErr w:type="gramStart"/>
            <w:r w:rsidRPr="00182F6E">
              <w:rPr>
                <w:rFonts w:ascii="Times New Roman" w:hAnsi="Times New Roman" w:cs="Times New Roman"/>
                <w:color w:val="000000"/>
                <w:sz w:val="20"/>
                <w:szCs w:val="20"/>
              </w:rPr>
              <w:t>environment;</w:t>
            </w:r>
            <w:proofErr w:type="gramEnd"/>
          </w:p>
          <w:p w14:paraId="71B4393C"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(4) Provides goods or services that are ancillary to the operation of the Federal program; and</w:t>
            </w:r>
          </w:p>
          <w:p w14:paraId="2A04A789"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(5) Is not subject to compliance requirements of the Federal program </w:t>
            </w:r>
            <w:proofErr w:type="gramStart"/>
            <w:r w:rsidRPr="00182F6E">
              <w:rPr>
                <w:rFonts w:ascii="Times New Roman" w:hAnsi="Times New Roman" w:cs="Times New Roman"/>
                <w:color w:val="000000"/>
                <w:sz w:val="20"/>
                <w:szCs w:val="20"/>
              </w:rPr>
              <w:t>as a result of</w:t>
            </w:r>
            <w:proofErr w:type="gramEnd"/>
            <w:r w:rsidRPr="00182F6E">
              <w:rPr>
                <w:rFonts w:ascii="Times New Roman" w:hAnsi="Times New Roman" w:cs="Times New Roman"/>
                <w:color w:val="000000"/>
                <w:sz w:val="20"/>
                <w:szCs w:val="20"/>
              </w:rPr>
              <w:t xml:space="preserve"> the agreement, though similar requirements may apply for other reasons.</w:t>
            </w:r>
          </w:p>
          <w:p w14:paraId="0F9C0C9D"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w:t>
            </w:r>
          </w:p>
        </w:tc>
        <w:tc>
          <w:tcPr>
            <w:tcW w:w="4548" w:type="dxa"/>
            <w:tcBorders>
              <w:top w:val="nil"/>
              <w:left w:val="nil"/>
              <w:bottom w:val="single" w:sz="8" w:space="0" w:color="auto"/>
              <w:right w:val="single" w:sz="8" w:space="0" w:color="auto"/>
            </w:tcBorders>
          </w:tcPr>
          <w:p w14:paraId="709C8E57"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(b) In determining the allowability of costs in a particular case, no single factor or any special combination of factors is necessarily determinative. However, the following factors are relevant:</w:t>
            </w:r>
          </w:p>
          <w:p w14:paraId="410D9F5C"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(1) The nature and scope of the service rendered in relation to the service required.</w:t>
            </w:r>
          </w:p>
          <w:p w14:paraId="42A75AB9"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 xml:space="preserve">(2) The necessity of contracting for the service, considering the non-Federal entity's capability in the </w:t>
            </w:r>
            <w:proofErr w:type="gramStart"/>
            <w:r w:rsidRPr="00182F6E">
              <w:rPr>
                <w:rFonts w:ascii="Times New Roman" w:hAnsi="Times New Roman" w:cs="Times New Roman"/>
                <w:color w:val="000000"/>
                <w:sz w:val="20"/>
                <w:szCs w:val="20"/>
              </w:rPr>
              <w:t>particular area</w:t>
            </w:r>
            <w:proofErr w:type="gramEnd"/>
            <w:r w:rsidRPr="00182F6E">
              <w:rPr>
                <w:rFonts w:ascii="Times New Roman" w:hAnsi="Times New Roman" w:cs="Times New Roman"/>
                <w:color w:val="000000"/>
                <w:sz w:val="20"/>
                <w:szCs w:val="20"/>
              </w:rPr>
              <w:t>.</w:t>
            </w:r>
          </w:p>
          <w:p w14:paraId="29503DEE"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(3) The past pattern of such costs, particularly in the years prior to Federal awards.</w:t>
            </w:r>
          </w:p>
          <w:p w14:paraId="06649B52"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(4) The impact of Federal awards on the non-Federal entity's business (i.e., what new problems have arisen).</w:t>
            </w:r>
          </w:p>
          <w:p w14:paraId="5CA753AE"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(5) Whether the proportion of Federal work to the non-Federal entity's total business is such as to influence the non-Federal entity in favor of incurring the cost, particularly where the services rendered are not of a continuing nature and have little relationship to work under Federal awards.</w:t>
            </w:r>
          </w:p>
          <w:p w14:paraId="1A423193"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(6) Whether the service can be performed more economically by direct employment rather than contracting.</w:t>
            </w:r>
          </w:p>
          <w:p w14:paraId="78749570"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(7) The qualifications of the individual or concern rendering the service and the customary fees charged, especially on non-federally funded activities.</w:t>
            </w:r>
          </w:p>
          <w:p w14:paraId="2B95DD01"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(8) Adequacy of the contractual agreement for the service (e.g., description of the service, estimate of time required, rate of compensation, and termination provisions).</w:t>
            </w:r>
          </w:p>
          <w:p w14:paraId="2F4C37D2"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(c) In addition to the factors in paragraph (b) of this section, to be allowable, retainer fees must be supported by evidence of bona fide services available or rendered.</w:t>
            </w:r>
          </w:p>
          <w:p w14:paraId="1A063F92" w14:textId="77777777" w:rsidR="00AB5498" w:rsidRPr="00182F6E" w:rsidRDefault="00AB5498">
            <w:pPr>
              <w:pStyle w:val="NormalWeb"/>
              <w:shd w:val="clear" w:color="auto" w:fill="FFFFFF"/>
              <w:rPr>
                <w:rFonts w:ascii="Times New Roman" w:hAnsi="Times New Roman" w:cs="Times New Roman"/>
                <w:color w:val="000000"/>
                <w:sz w:val="20"/>
                <w:szCs w:val="20"/>
              </w:rPr>
            </w:pPr>
          </w:p>
        </w:tc>
        <w:tc>
          <w:tcPr>
            <w:tcW w:w="4468" w:type="dxa"/>
            <w:tcBorders>
              <w:top w:val="nil"/>
              <w:left w:val="nil"/>
              <w:bottom w:val="single" w:sz="8" w:space="0" w:color="auto"/>
              <w:right w:val="single" w:sz="8" w:space="0" w:color="auto"/>
            </w:tcBorders>
          </w:tcPr>
          <w:p w14:paraId="1B5C3D79" w14:textId="11CC544B" w:rsidR="00A85E2E" w:rsidRPr="00182F6E" w:rsidRDefault="00A85E2E" w:rsidP="00A85E2E">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rPr>
              <w:t>(1)</w:t>
            </w:r>
            <w:r>
              <w:t xml:space="preserve"> </w:t>
            </w:r>
            <w:r w:rsidRPr="00A85E2E">
              <w:rPr>
                <w:rFonts w:ascii="Times New Roman" w:hAnsi="Times New Roman" w:cs="Times New Roman"/>
                <w:color w:val="000000"/>
                <w:sz w:val="20"/>
                <w:szCs w:val="20"/>
              </w:rPr>
              <w:t>Non-federal entity acts as a conduit of grant funds which “flow through” to other entities. In such cases, the activities supported by the funds generally require minimal administrative benefit.</w:t>
            </w:r>
          </w:p>
          <w:p w14:paraId="6828CE63" w14:textId="69A5C134" w:rsidR="00A85E2E" w:rsidRDefault="00A85E2E" w:rsidP="00A85E2E">
            <w:pPr>
              <w:spacing w:before="100" w:beforeAutospacing="1" w:after="100" w:afterAutospacing="1"/>
              <w:rPr>
                <w:rFonts w:ascii="Times New Roman" w:hAnsi="Times New Roman" w:cs="Times New Roman"/>
                <w:color w:val="000000"/>
                <w:sz w:val="20"/>
                <w:szCs w:val="20"/>
                <w:shd w:val="clear" w:color="auto" w:fill="FFFFFF"/>
              </w:rPr>
            </w:pPr>
            <w:r w:rsidRPr="00182F6E">
              <w:rPr>
                <w:rFonts w:ascii="Times New Roman" w:hAnsi="Times New Roman" w:cs="Times New Roman"/>
                <w:color w:val="000000"/>
                <w:sz w:val="20"/>
                <w:szCs w:val="20"/>
              </w:rPr>
              <w:t xml:space="preserve">(2) </w:t>
            </w:r>
            <w:r w:rsidR="00E236AA" w:rsidRPr="00E236AA">
              <w:rPr>
                <w:rFonts w:ascii="Times New Roman" w:hAnsi="Times New Roman" w:cs="Times New Roman"/>
                <w:color w:val="000000"/>
                <w:sz w:val="20"/>
                <w:szCs w:val="20"/>
              </w:rPr>
              <w:t xml:space="preserve">If the flow-through (pass-through) funding were included in the indirect cost rate calculation, they would distort the calculation. </w:t>
            </w:r>
          </w:p>
          <w:p w14:paraId="0AAEE4A4" w14:textId="77777777" w:rsidR="00A85E2E" w:rsidRPr="00A85E2E" w:rsidRDefault="00A85E2E" w:rsidP="00A85E2E">
            <w:pPr>
              <w:spacing w:before="100" w:beforeAutospacing="1" w:after="100" w:afterAutospacing="1"/>
              <w:rPr>
                <w:rFonts w:ascii="Times New Roman" w:hAnsi="Times New Roman" w:cs="Times New Roman"/>
                <w:color w:val="000000"/>
                <w:sz w:val="20"/>
                <w:szCs w:val="20"/>
                <w:shd w:val="clear" w:color="auto" w:fill="FFFFFF"/>
              </w:rPr>
            </w:pPr>
          </w:p>
          <w:p w14:paraId="0EFB8787" w14:textId="06C27185" w:rsidR="006D414C" w:rsidRPr="00281F8D" w:rsidRDefault="006D414C" w:rsidP="00281F8D">
            <w:pPr>
              <w:spacing w:before="100" w:beforeAutospacing="1" w:after="100" w:afterAutospacing="1"/>
              <w:rPr>
                <w:rFonts w:ascii="Times New Roman" w:hAnsi="Times New Roman" w:cs="Times New Roman"/>
                <w:color w:val="000000"/>
                <w:sz w:val="20"/>
                <w:szCs w:val="20"/>
                <w:shd w:val="clear" w:color="auto" w:fill="FFFFFF"/>
              </w:rPr>
            </w:pPr>
            <w:r w:rsidRPr="00281F8D">
              <w:rPr>
                <w:rFonts w:ascii="Times New Roman" w:hAnsi="Times New Roman" w:cs="Times New Roman"/>
                <w:color w:val="000000"/>
                <w:sz w:val="20"/>
                <w:szCs w:val="20"/>
                <w:shd w:val="clear" w:color="auto" w:fill="FFFFFF"/>
              </w:rPr>
              <w:t>.</w:t>
            </w:r>
          </w:p>
        </w:tc>
      </w:tr>
      <w:tr w:rsidR="00AB5498" w:rsidRPr="00182F6E" w14:paraId="2D948483" w14:textId="22183C3E" w:rsidTr="00AB5498">
        <w:tc>
          <w:tcPr>
            <w:tcW w:w="15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E9A93" w14:textId="77777777" w:rsidR="00AB5498" w:rsidRPr="00182F6E" w:rsidRDefault="00AB5498">
            <w:pPr>
              <w:spacing w:before="100" w:beforeAutospacing="1" w:after="100" w:afterAutospacing="1"/>
              <w:rPr>
                <w:rFonts w:ascii="Times New Roman" w:hAnsi="Times New Roman" w:cs="Times New Roman"/>
                <w:b/>
                <w:bCs/>
                <w:sz w:val="20"/>
                <w:szCs w:val="20"/>
                <w:u w:val="single"/>
              </w:rPr>
            </w:pPr>
            <w:r w:rsidRPr="00182F6E">
              <w:rPr>
                <w:rFonts w:ascii="Times New Roman" w:hAnsi="Times New Roman" w:cs="Times New Roman"/>
                <w:b/>
                <w:bCs/>
                <w:sz w:val="20"/>
                <w:szCs w:val="20"/>
                <w:u w:val="single"/>
              </w:rPr>
              <w:t xml:space="preserve">Treatment </w:t>
            </w:r>
          </w:p>
        </w:tc>
        <w:tc>
          <w:tcPr>
            <w:tcW w:w="5817" w:type="dxa"/>
            <w:tcBorders>
              <w:top w:val="nil"/>
              <w:left w:val="nil"/>
              <w:bottom w:val="single" w:sz="8" w:space="0" w:color="auto"/>
              <w:right w:val="single" w:sz="8" w:space="0" w:color="auto"/>
            </w:tcBorders>
            <w:tcMar>
              <w:top w:w="0" w:type="dxa"/>
              <w:left w:w="108" w:type="dxa"/>
              <w:bottom w:w="0" w:type="dxa"/>
              <w:right w:w="108" w:type="dxa"/>
            </w:tcMar>
            <w:hideMark/>
          </w:tcPr>
          <w:p w14:paraId="0DCCD08C" w14:textId="2C04943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highlight w:val="yellow"/>
              </w:rPr>
              <w:t>Generally, subject to $25,000 exclusion</w:t>
            </w:r>
            <w:r w:rsidRPr="00182F6E">
              <w:rPr>
                <w:rFonts w:ascii="Times New Roman" w:hAnsi="Times New Roman" w:cs="Times New Roman"/>
                <w:color w:val="000000"/>
                <w:sz w:val="20"/>
                <w:szCs w:val="20"/>
              </w:rPr>
              <w:t xml:space="preserve"> </w:t>
            </w:r>
            <w:hyperlink r:id="rId10" w:history="1">
              <w:r w:rsidRPr="000279AE">
                <w:rPr>
                  <w:rStyle w:val="Hyperlink"/>
                  <w:rFonts w:ascii="Times New Roman" w:hAnsi="Times New Roman" w:cs="Times New Roman"/>
                  <w:sz w:val="20"/>
                  <w:szCs w:val="20"/>
                </w:rPr>
                <w:t xml:space="preserve">2 CFR </w:t>
              </w:r>
              <w:r w:rsidR="0046244F" w:rsidRPr="000279AE">
                <w:rPr>
                  <w:rStyle w:val="Hyperlink"/>
                  <w:rFonts w:ascii="Times New Roman" w:hAnsi="Times New Roman" w:cs="Times New Roman"/>
                  <w:sz w:val="20"/>
                  <w:szCs w:val="20"/>
                </w:rPr>
                <w:t>§</w:t>
              </w:r>
              <w:r w:rsidRPr="000279AE">
                <w:rPr>
                  <w:rStyle w:val="Hyperlink"/>
                  <w:rFonts w:ascii="Times New Roman" w:hAnsi="Times New Roman" w:cs="Times New Roman"/>
                  <w:sz w:val="20"/>
                  <w:szCs w:val="20"/>
                </w:rPr>
                <w:t>200.</w:t>
              </w:r>
              <w:r w:rsidR="0046244F" w:rsidRPr="000279AE">
                <w:rPr>
                  <w:rStyle w:val="Hyperlink"/>
                  <w:rFonts w:ascii="Times New Roman" w:hAnsi="Times New Roman" w:cs="Times New Roman"/>
                  <w:sz w:val="20"/>
                  <w:szCs w:val="20"/>
                </w:rPr>
                <w:t>1</w:t>
              </w:r>
              <w:r w:rsidRPr="000279AE">
                <w:rPr>
                  <w:rStyle w:val="Hyperlink"/>
                  <w:rFonts w:ascii="Times New Roman" w:hAnsi="Times New Roman" w:cs="Times New Roman"/>
                  <w:sz w:val="20"/>
                  <w:szCs w:val="20"/>
                </w:rPr>
                <w:t xml:space="preserve"> Modified Total Direct Cost</w:t>
              </w:r>
            </w:hyperlink>
          </w:p>
        </w:tc>
        <w:tc>
          <w:tcPr>
            <w:tcW w:w="4524" w:type="dxa"/>
            <w:tcBorders>
              <w:top w:val="nil"/>
              <w:left w:val="nil"/>
              <w:bottom w:val="single" w:sz="8" w:space="0" w:color="auto"/>
              <w:right w:val="single" w:sz="8" w:space="0" w:color="auto"/>
            </w:tcBorders>
            <w:tcMar>
              <w:top w:w="0" w:type="dxa"/>
              <w:left w:w="108" w:type="dxa"/>
              <w:bottom w:w="0" w:type="dxa"/>
              <w:right w:w="108" w:type="dxa"/>
            </w:tcMar>
            <w:hideMark/>
          </w:tcPr>
          <w:p w14:paraId="056947DB" w14:textId="6BD6B944"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highlight w:val="yellow"/>
              </w:rPr>
              <w:t>Generally, subject to $25,000</w:t>
            </w:r>
            <w:r w:rsidRPr="00182F6E">
              <w:rPr>
                <w:rFonts w:ascii="Times New Roman" w:hAnsi="Times New Roman" w:cs="Times New Roman"/>
                <w:color w:val="000000"/>
                <w:sz w:val="20"/>
                <w:szCs w:val="20"/>
              </w:rPr>
              <w:t xml:space="preserve"> exclusion </w:t>
            </w:r>
            <w:hyperlink r:id="rId11" w:history="1">
              <w:r w:rsidR="000279AE" w:rsidRPr="000279AE">
                <w:rPr>
                  <w:rStyle w:val="Hyperlink"/>
                  <w:rFonts w:ascii="Times New Roman" w:hAnsi="Times New Roman" w:cs="Times New Roman"/>
                  <w:sz w:val="20"/>
                  <w:szCs w:val="20"/>
                </w:rPr>
                <w:t>2 CFR §200.1 Modified Total Direct Cost</w:t>
              </w:r>
            </w:hyperlink>
          </w:p>
        </w:tc>
        <w:tc>
          <w:tcPr>
            <w:tcW w:w="4548" w:type="dxa"/>
            <w:tcBorders>
              <w:top w:val="nil"/>
              <w:left w:val="nil"/>
              <w:bottom w:val="single" w:sz="8" w:space="0" w:color="auto"/>
              <w:right w:val="single" w:sz="8" w:space="0" w:color="auto"/>
            </w:tcBorders>
            <w:hideMark/>
          </w:tcPr>
          <w:p w14:paraId="32F64A7E" w14:textId="77777777" w:rsidR="00AB5498" w:rsidRPr="00182F6E" w:rsidRDefault="00AB5498">
            <w:pPr>
              <w:shd w:val="clear" w:color="auto" w:fill="FFFFFF"/>
              <w:spacing w:before="100" w:beforeAutospacing="1" w:after="100" w:afterAutospacing="1"/>
              <w:rPr>
                <w:rFonts w:ascii="Times New Roman" w:hAnsi="Times New Roman" w:cs="Times New Roman"/>
                <w:color w:val="000000"/>
                <w:sz w:val="20"/>
                <w:szCs w:val="20"/>
              </w:rPr>
            </w:pPr>
            <w:r w:rsidRPr="00182F6E">
              <w:rPr>
                <w:rFonts w:ascii="Times New Roman" w:hAnsi="Times New Roman" w:cs="Times New Roman"/>
                <w:color w:val="000000"/>
                <w:sz w:val="20"/>
                <w:szCs w:val="20"/>
                <w:highlight w:val="yellow"/>
              </w:rPr>
              <w:t>Generally, not subject to exclusion of amounts over $25,000</w:t>
            </w:r>
            <w:r w:rsidRPr="00182F6E">
              <w:rPr>
                <w:rFonts w:ascii="Times New Roman" w:hAnsi="Times New Roman" w:cs="Times New Roman"/>
                <w:color w:val="000000"/>
                <w:sz w:val="20"/>
                <w:szCs w:val="20"/>
              </w:rPr>
              <w:t xml:space="preserve"> when providing an auxiliary expertise normally provided inhouse. </w:t>
            </w:r>
          </w:p>
        </w:tc>
        <w:tc>
          <w:tcPr>
            <w:tcW w:w="4468" w:type="dxa"/>
            <w:tcBorders>
              <w:top w:val="nil"/>
              <w:left w:val="nil"/>
              <w:bottom w:val="single" w:sz="8" w:space="0" w:color="auto"/>
              <w:right w:val="single" w:sz="8" w:space="0" w:color="auto"/>
            </w:tcBorders>
          </w:tcPr>
          <w:p w14:paraId="16CBC8E1" w14:textId="74AEE923" w:rsidR="00AB5498" w:rsidRPr="00182F6E" w:rsidRDefault="00420C2A">
            <w:pPr>
              <w:shd w:val="clear" w:color="auto" w:fill="FFFFFF"/>
              <w:spacing w:before="100" w:beforeAutospacing="1" w:after="100" w:afterAutospacing="1"/>
              <w:rPr>
                <w:rFonts w:ascii="Times New Roman" w:hAnsi="Times New Roman" w:cs="Times New Roman"/>
                <w:color w:val="000000"/>
                <w:sz w:val="20"/>
                <w:szCs w:val="20"/>
                <w:highlight w:val="yellow"/>
              </w:rPr>
            </w:pPr>
            <w:r w:rsidRPr="001F7D1D">
              <w:rPr>
                <w:rFonts w:ascii="Times New Roman" w:hAnsi="Times New Roman" w:cs="Times New Roman"/>
                <w:color w:val="000000"/>
                <w:sz w:val="20"/>
                <w:szCs w:val="20"/>
                <w:highlight w:val="yellow"/>
              </w:rPr>
              <w:t>Generally,</w:t>
            </w:r>
            <w:r w:rsidRPr="00175E46">
              <w:rPr>
                <w:rFonts w:ascii="Times New Roman" w:hAnsi="Times New Roman" w:cs="Times New Roman"/>
                <w:color w:val="000000"/>
                <w:sz w:val="20"/>
                <w:szCs w:val="20"/>
                <w:highlight w:val="yellow"/>
              </w:rPr>
              <w:t xml:space="preserve"> </w:t>
            </w:r>
            <w:r w:rsidR="00714EA0" w:rsidRPr="00175E46">
              <w:rPr>
                <w:rFonts w:ascii="Times New Roman" w:hAnsi="Times New Roman" w:cs="Times New Roman"/>
                <w:color w:val="000000"/>
                <w:sz w:val="20"/>
                <w:szCs w:val="20"/>
                <w:highlight w:val="yellow"/>
              </w:rPr>
              <w:t>excluded from the direct cost base</w:t>
            </w:r>
            <w:r w:rsidR="00135A47">
              <w:rPr>
                <w:rFonts w:ascii="Times New Roman" w:hAnsi="Times New Roman" w:cs="Times New Roman"/>
                <w:color w:val="000000"/>
                <w:sz w:val="20"/>
                <w:szCs w:val="20"/>
              </w:rPr>
              <w:t xml:space="preserve"> with </w:t>
            </w:r>
            <w:r w:rsidR="00F70A03">
              <w:rPr>
                <w:rFonts w:ascii="Times New Roman" w:hAnsi="Times New Roman" w:cs="Times New Roman"/>
                <w:color w:val="000000"/>
                <w:sz w:val="20"/>
                <w:szCs w:val="20"/>
              </w:rPr>
              <w:t xml:space="preserve">approval from the cognizant agency for indirect costs. </w:t>
            </w:r>
          </w:p>
        </w:tc>
      </w:tr>
    </w:tbl>
    <w:p w14:paraId="6B1A8924" w14:textId="77777777" w:rsidR="00E70AEE" w:rsidRPr="00182F6E" w:rsidRDefault="00E70AEE">
      <w:pPr>
        <w:rPr>
          <w:sz w:val="20"/>
          <w:szCs w:val="20"/>
        </w:rPr>
      </w:pPr>
    </w:p>
    <w:sectPr w:rsidR="00E70AEE" w:rsidRPr="00182F6E" w:rsidSect="00182F6E">
      <w:pgSz w:w="23811" w:h="16838" w:orient="landscape" w:code="8"/>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A3AFF"/>
    <w:multiLevelType w:val="hybridMultilevel"/>
    <w:tmpl w:val="A44805BC"/>
    <w:lvl w:ilvl="0" w:tplc="119AA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F6E"/>
    <w:rsid w:val="000279AE"/>
    <w:rsid w:val="00034438"/>
    <w:rsid w:val="000518DD"/>
    <w:rsid w:val="00073BB5"/>
    <w:rsid w:val="000811E8"/>
    <w:rsid w:val="000B7F6C"/>
    <w:rsid w:val="000C2359"/>
    <w:rsid w:val="00135A47"/>
    <w:rsid w:val="00160CA9"/>
    <w:rsid w:val="00161E5D"/>
    <w:rsid w:val="00175E46"/>
    <w:rsid w:val="00182F6E"/>
    <w:rsid w:val="001F32CF"/>
    <w:rsid w:val="001F7D1D"/>
    <w:rsid w:val="00217C34"/>
    <w:rsid w:val="00281F8D"/>
    <w:rsid w:val="002B186B"/>
    <w:rsid w:val="00353B9B"/>
    <w:rsid w:val="00356887"/>
    <w:rsid w:val="003A5350"/>
    <w:rsid w:val="003D353F"/>
    <w:rsid w:val="003F752B"/>
    <w:rsid w:val="00420C2A"/>
    <w:rsid w:val="00435843"/>
    <w:rsid w:val="0046244F"/>
    <w:rsid w:val="00565466"/>
    <w:rsid w:val="005D6CC9"/>
    <w:rsid w:val="0067311D"/>
    <w:rsid w:val="006B657C"/>
    <w:rsid w:val="006D414C"/>
    <w:rsid w:val="006E6220"/>
    <w:rsid w:val="00714EA0"/>
    <w:rsid w:val="008F60D6"/>
    <w:rsid w:val="00947FA4"/>
    <w:rsid w:val="009A5F31"/>
    <w:rsid w:val="009C03B5"/>
    <w:rsid w:val="009C25A5"/>
    <w:rsid w:val="009D3072"/>
    <w:rsid w:val="009E7EE0"/>
    <w:rsid w:val="009F0498"/>
    <w:rsid w:val="00A1672A"/>
    <w:rsid w:val="00A2508D"/>
    <w:rsid w:val="00A75ED9"/>
    <w:rsid w:val="00A85E2E"/>
    <w:rsid w:val="00AA635B"/>
    <w:rsid w:val="00AB218D"/>
    <w:rsid w:val="00AB5498"/>
    <w:rsid w:val="00AD7E2C"/>
    <w:rsid w:val="00B27824"/>
    <w:rsid w:val="00BA375B"/>
    <w:rsid w:val="00C73886"/>
    <w:rsid w:val="00CB3DE0"/>
    <w:rsid w:val="00CC45B8"/>
    <w:rsid w:val="00D02E32"/>
    <w:rsid w:val="00D04748"/>
    <w:rsid w:val="00D4329A"/>
    <w:rsid w:val="00D72699"/>
    <w:rsid w:val="00D76A21"/>
    <w:rsid w:val="00E1084B"/>
    <w:rsid w:val="00E236AA"/>
    <w:rsid w:val="00E52BE6"/>
    <w:rsid w:val="00E62891"/>
    <w:rsid w:val="00E70AEE"/>
    <w:rsid w:val="00ED5143"/>
    <w:rsid w:val="00ED5BF0"/>
    <w:rsid w:val="00EE1414"/>
    <w:rsid w:val="00F03FC0"/>
    <w:rsid w:val="00F11557"/>
    <w:rsid w:val="00F70A03"/>
    <w:rsid w:val="00F749FA"/>
    <w:rsid w:val="00F9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30CE"/>
  <w15:chartTrackingRefBased/>
  <w15:docId w15:val="{C46E8063-2C64-4738-ADE1-8534FF082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F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F6E"/>
    <w:rPr>
      <w:color w:val="0563C1"/>
      <w:u w:val="single"/>
    </w:rPr>
  </w:style>
  <w:style w:type="paragraph" w:styleId="NormalWeb">
    <w:name w:val="Normal (Web)"/>
    <w:basedOn w:val="Normal"/>
    <w:uiPriority w:val="99"/>
    <w:semiHidden/>
    <w:unhideWhenUsed/>
    <w:rsid w:val="00182F6E"/>
    <w:pPr>
      <w:spacing w:before="100" w:beforeAutospacing="1" w:after="100" w:afterAutospacing="1"/>
    </w:pPr>
  </w:style>
  <w:style w:type="paragraph" w:styleId="ListParagraph">
    <w:name w:val="List Paragraph"/>
    <w:basedOn w:val="Normal"/>
    <w:uiPriority w:val="34"/>
    <w:qFormat/>
    <w:rsid w:val="00182F6E"/>
    <w:pPr>
      <w:ind w:left="720"/>
    </w:pPr>
  </w:style>
  <w:style w:type="character" w:styleId="FollowedHyperlink">
    <w:name w:val="FollowedHyperlink"/>
    <w:basedOn w:val="DefaultParagraphFont"/>
    <w:uiPriority w:val="99"/>
    <w:semiHidden/>
    <w:unhideWhenUsed/>
    <w:rsid w:val="000811E8"/>
    <w:rPr>
      <w:color w:val="954F72" w:themeColor="followedHyperlink"/>
      <w:u w:val="single"/>
    </w:rPr>
  </w:style>
  <w:style w:type="character" w:styleId="UnresolvedMention">
    <w:name w:val="Unresolved Mention"/>
    <w:basedOn w:val="DefaultParagraphFont"/>
    <w:uiPriority w:val="99"/>
    <w:semiHidden/>
    <w:unhideWhenUsed/>
    <w:rsid w:val="00AD7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09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338e32b5b0cf02c057e2456ddd19f4e&amp;mc=true&amp;node=se2.1.200_1459&amp;rgn=div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cfr.gov/cgi-bin/text-idx?SID=2c8a7c9b5d75c6388c0a35feb1496768&amp;mc=true&amp;node=se2.1.200_11&amp;rgn=div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cfr.gov/cgi-bin/text-idx?SID=2c8a7c9b5d75c6388c0a35feb1496768&amp;mc=true&amp;node=se2.1.200_11&amp;rgn=div8" TargetMode="External"/><Relationship Id="rId11" Type="http://schemas.openxmlformats.org/officeDocument/2006/relationships/hyperlink" Target="https://www.ecfr.gov/cgi-bin/text-idx?SID=2c8a7c9b5d75c6388c0a35feb1496768&amp;mc=true&amp;node=se2.1.200_11&amp;rgn=div8" TargetMode="External"/><Relationship Id="rId5" Type="http://schemas.openxmlformats.org/officeDocument/2006/relationships/hyperlink" Target="https://www.ecfr.gov/cgi-bin/text-idx?SID=2c8a7c9b5d75c6388c0a35feb1496768&amp;mc=true&amp;node=se2.1.200_1331&amp;rgn=div8" TargetMode="External"/><Relationship Id="rId10" Type="http://schemas.openxmlformats.org/officeDocument/2006/relationships/hyperlink" Target="https://www.ecfr.gov/cgi-bin/text-idx?SID=2c8a7c9b5d75c6388c0a35feb1496768&amp;mc=true&amp;node=se2.1.200_11&amp;rgn=div8" TargetMode="External"/><Relationship Id="rId4" Type="http://schemas.openxmlformats.org/officeDocument/2006/relationships/webSettings" Target="webSettings.xml"/><Relationship Id="rId9" Type="http://schemas.openxmlformats.org/officeDocument/2006/relationships/hyperlink" Target="https://www.ecfr.gov/cgi-bin/text-idx?SID=2c8a7c9b5d75c6388c0a35feb1496768&amp;mc=true&amp;node=se2.1.200_11&amp;rgn=div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885</Words>
  <Characters>5046</Characters>
  <Application>Microsoft Office Word</Application>
  <DocSecurity>4</DocSecurity>
  <Lines>42</Lines>
  <Paragraphs>11</Paragraphs>
  <ScaleCrop>false</ScaleCrop>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Hylton, Andre</dc:creator>
  <cp:keywords/>
  <dc:description/>
  <cp:lastModifiedBy>Janice Eret</cp:lastModifiedBy>
  <cp:revision>2</cp:revision>
  <dcterms:created xsi:type="dcterms:W3CDTF">2021-05-12T17:36:00Z</dcterms:created>
  <dcterms:modified xsi:type="dcterms:W3CDTF">2021-05-12T17:36:00Z</dcterms:modified>
</cp:coreProperties>
</file>